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0" w:type="dxa"/>
        <w:tblLayout w:type="fixed"/>
        <w:tblCellMar>
          <w:top w:w="0" w:type="dxa"/>
          <w:left w:w="0" w:type="dxa"/>
          <w:bottom w:w="0" w:type="dxa"/>
          <w:right w:w="0" w:type="dxa"/>
        </w:tblCellMar>
      </w:tblPr>
      <w:tblGrid>
        <w:gridCol w:w="85"/>
        <w:gridCol w:w="4297"/>
        <w:gridCol w:w="4326"/>
        <w:gridCol w:w="139"/>
      </w:tblGrid>
      <w:tr>
        <w:tblPrEx>
          <w:tblCellMar>
            <w:top w:w="0" w:type="dxa"/>
            <w:left w:w="0" w:type="dxa"/>
            <w:bottom w:w="0" w:type="dxa"/>
            <w:right w:w="0" w:type="dxa"/>
          </w:tblCellMar>
        </w:tblPrEx>
        <w:trPr>
          <w:cantSplit/>
          <w:trHeight w:val="535" w:hRule="atLeast"/>
        </w:trPr>
        <w:tc>
          <w:tcPr>
            <w:tcW w:w="4382" w:type="dxa"/>
            <w:gridSpan w:val="2"/>
          </w:tcPr>
          <w:p>
            <w:pPr>
              <w:pStyle w:val="4"/>
              <w:ind w:firstLine="822"/>
            </w:pPr>
          </w:p>
        </w:tc>
        <w:tc>
          <w:tcPr>
            <w:tcW w:w="4465" w:type="dxa"/>
            <w:gridSpan w:val="2"/>
          </w:tcPr>
          <w:p>
            <w:pPr>
              <w:pStyle w:val="10"/>
            </w:pPr>
          </w:p>
        </w:tc>
      </w:tr>
      <w:tr>
        <w:tblPrEx>
          <w:tblCellMar>
            <w:top w:w="0" w:type="dxa"/>
            <w:left w:w="0" w:type="dxa"/>
            <w:bottom w:w="0" w:type="dxa"/>
            <w:right w:w="0" w:type="dxa"/>
          </w:tblCellMar>
        </w:tblPrEx>
        <w:trPr>
          <w:cantSplit/>
          <w:trHeight w:val="782" w:hRule="atLeast"/>
        </w:trPr>
        <w:tc>
          <w:tcPr>
            <w:tcW w:w="8847" w:type="dxa"/>
            <w:gridSpan w:val="4"/>
          </w:tcPr>
          <w:p>
            <w:pPr>
              <w:pStyle w:val="10"/>
            </w:pPr>
          </w:p>
        </w:tc>
      </w:tr>
      <w:tr>
        <w:tblPrEx>
          <w:tblCellMar>
            <w:top w:w="0" w:type="dxa"/>
            <w:left w:w="0" w:type="dxa"/>
            <w:bottom w:w="0" w:type="dxa"/>
            <w:right w:w="0" w:type="dxa"/>
          </w:tblCellMar>
        </w:tblPrEx>
        <w:trPr>
          <w:gridBefore w:val="1"/>
          <w:gridAfter w:val="1"/>
          <w:wBefore w:w="85" w:type="dxa"/>
          <w:wAfter w:w="139" w:type="dxa"/>
          <w:cantSplit/>
          <w:trHeight w:val="922" w:hRule="atLeast"/>
        </w:trPr>
        <w:tc>
          <w:tcPr>
            <w:tcW w:w="8623" w:type="dxa"/>
            <w:gridSpan w:val="2"/>
            <w:vAlign w:val="center"/>
          </w:tcPr>
          <w:p>
            <w:pPr>
              <w:rPr>
                <w:rFonts w:ascii="华文中宋" w:hAnsi="华文中宋" w:eastAsia="华文中宋"/>
                <w:color w:val="FFFFFF"/>
                <w:spacing w:val="-22"/>
                <w:w w:val="55"/>
                <w:sz w:val="140"/>
                <w:szCs w:val="140"/>
              </w:rPr>
            </w:pPr>
            <w:r>
              <w:rPr>
                <w:rFonts w:hint="eastAsia" w:ascii="宋体" w:hAnsi="宋体" w:cs="宋体"/>
                <w:color w:val="FF0000"/>
                <w:spacing w:val="-22"/>
                <w:w w:val="55"/>
                <w:sz w:val="170"/>
                <w:szCs w:val="170"/>
              </w:rPr>
              <w:t>武汉轻工大学教务处</w:t>
            </w:r>
          </w:p>
        </w:tc>
      </w:tr>
      <w:tr>
        <w:tblPrEx>
          <w:tblCellMar>
            <w:top w:w="0" w:type="dxa"/>
            <w:left w:w="0" w:type="dxa"/>
            <w:bottom w:w="0" w:type="dxa"/>
            <w:right w:w="0" w:type="dxa"/>
          </w:tblCellMar>
        </w:tblPrEx>
        <w:trPr>
          <w:cantSplit/>
          <w:trHeight w:val="432" w:hRule="atLeast"/>
        </w:trPr>
        <w:tc>
          <w:tcPr>
            <w:tcW w:w="8847" w:type="dxa"/>
            <w:gridSpan w:val="4"/>
            <w:vAlign w:val="bottom"/>
          </w:tcPr>
          <w:p>
            <w:pPr>
              <w:jc w:val="center"/>
              <w:rPr>
                <w:rFonts w:ascii="仿宋_GB2312"/>
                <w:szCs w:val="32"/>
              </w:rPr>
            </w:pPr>
          </w:p>
          <w:p>
            <w:pPr>
              <w:jc w:val="center"/>
              <w:rPr>
                <w:b/>
                <w:sz w:val="28"/>
                <w:szCs w:val="28"/>
              </w:rPr>
            </w:pPr>
            <w:r>
              <w:rPr>
                <w:rFonts w:hint="eastAsia" w:ascii="仿宋_GB2312"/>
                <w:sz w:val="28"/>
                <w:szCs w:val="28"/>
              </w:rPr>
              <w:t>会议纪要〔202</w:t>
            </w:r>
            <w:r>
              <w:rPr>
                <w:rFonts w:ascii="仿宋_GB2312"/>
                <w:sz w:val="28"/>
                <w:szCs w:val="28"/>
              </w:rPr>
              <w:t>3</w:t>
            </w:r>
            <w:r>
              <w:rPr>
                <w:rFonts w:hint="eastAsia" w:ascii="仿宋_GB2312"/>
                <w:sz w:val="28"/>
                <w:szCs w:val="28"/>
              </w:rPr>
              <w:t>〕11号</w:t>
            </w:r>
          </w:p>
        </w:tc>
      </w:tr>
      <w:tr>
        <w:tblPrEx>
          <w:tblCellMar>
            <w:top w:w="0" w:type="dxa"/>
            <w:left w:w="0" w:type="dxa"/>
            <w:bottom w:w="0" w:type="dxa"/>
            <w:right w:w="0" w:type="dxa"/>
          </w:tblCellMar>
        </w:tblPrEx>
        <w:trPr>
          <w:cantSplit/>
          <w:trHeight w:val="100" w:hRule="exact"/>
        </w:trPr>
        <w:tc>
          <w:tcPr>
            <w:tcW w:w="8847" w:type="dxa"/>
            <w:gridSpan w:val="4"/>
          </w:tcPr>
          <w:p>
            <w:pPr>
              <w:jc w:val="center"/>
            </w:pPr>
          </w:p>
        </w:tc>
      </w:tr>
    </w:tbl>
    <w:p>
      <w:pPr>
        <w:pStyle w:val="3"/>
        <w:ind w:firstLine="0" w:firstLineChars="0"/>
        <w:rPr>
          <w:rFonts w:ascii="仿宋" w:hAnsi="仿宋" w:eastAsia="仿宋"/>
          <w:b/>
          <w:bCs/>
          <w:sz w:val="44"/>
          <w:szCs w:val="44"/>
        </w:rPr>
      </w:pPr>
    </w:p>
    <w:p>
      <w:pPr>
        <w:pStyle w:val="3"/>
        <w:spacing w:line="560" w:lineRule="exact"/>
        <w:ind w:firstLine="0" w:firstLineChars="0"/>
        <w:jc w:val="center"/>
        <w:rPr>
          <w:rFonts w:ascii="仿宋" w:hAnsi="仿宋" w:eastAsia="仿宋"/>
          <w:b/>
          <w:bCs/>
          <w:sz w:val="44"/>
          <w:szCs w:val="44"/>
        </w:rPr>
      </w:pPr>
      <w:r>
        <w:rPr>
          <w:rFonts w:hint="eastAsia" w:ascii="仿宋" w:hAnsi="仿宋" w:eastAsia="仿宋"/>
          <w:b/>
          <w:bCs/>
          <w:sz w:val="44"/>
          <w:szCs w:val="44"/>
        </w:rPr>
        <w:t>本科教学工作例会纪要</w:t>
      </w:r>
    </w:p>
    <w:p>
      <w:pPr>
        <w:pStyle w:val="3"/>
        <w:spacing w:line="560" w:lineRule="exact"/>
        <w:ind w:firstLine="0" w:firstLineChars="0"/>
        <w:jc w:val="center"/>
      </w:pPr>
      <w:r>
        <w:rPr>
          <w:rFonts w:hint="eastAsia"/>
        </w:rPr>
        <w:t>（2023年10月24日）</w:t>
      </w:r>
    </w:p>
    <w:p>
      <w:pPr>
        <w:pStyle w:val="3"/>
        <w:spacing w:line="520" w:lineRule="exact"/>
        <w:ind w:firstLine="640"/>
        <w:rPr>
          <w:rFonts w:ascii="仿宋" w:hAnsi="仿宋" w:eastAsia="仿宋" w:cs="仿宋"/>
          <w:sz w:val="32"/>
          <w:szCs w:val="32"/>
          <w:shd w:val="clear" w:color="auto" w:fill="FFFFFF"/>
        </w:rPr>
      </w:pPr>
      <w:r>
        <w:rPr>
          <w:rFonts w:hint="eastAsia" w:ascii="仿宋" w:hAnsi="仿宋" w:eastAsia="仿宋" w:cs="仿宋"/>
          <w:sz w:val="32"/>
          <w:szCs w:val="32"/>
        </w:rPr>
        <w:t>10月24日下午，学校召开第十一次本科教学工作例会。</w:t>
      </w:r>
      <w:r>
        <w:rPr>
          <w:rFonts w:hint="eastAsia" w:ascii="仿宋" w:hAnsi="仿宋" w:eastAsia="仿宋" w:cs="仿宋"/>
          <w:sz w:val="32"/>
          <w:szCs w:val="32"/>
          <w:shd w:val="clear" w:color="auto" w:fill="FFFFFF"/>
        </w:rPr>
        <w:t>校党委常委、副校长王宏勋主持会议，各学院(部)分管本科教学工作副院长（主任）、教务处和教评中心相关人员参加会议。</w:t>
      </w:r>
    </w:p>
    <w:p>
      <w:pPr>
        <w:tabs>
          <w:tab w:val="left" w:pos="630"/>
        </w:tabs>
        <w:spacing w:line="520" w:lineRule="exact"/>
        <w:ind w:firstLine="640"/>
        <w:rPr>
          <w:rFonts w:ascii="仿宋" w:hAnsi="仿宋" w:eastAsia="仿宋" w:cs="仿宋"/>
          <w:sz w:val="32"/>
          <w:szCs w:val="32"/>
        </w:rPr>
      </w:pPr>
      <w:r>
        <w:rPr>
          <w:rFonts w:hint="eastAsia" w:ascii="仿宋" w:hAnsi="仿宋" w:eastAsia="仿宋" w:cs="仿宋"/>
          <w:sz w:val="32"/>
          <w:szCs w:val="32"/>
        </w:rPr>
        <w:t>教务处布置了近期教学运行、教学研究、学籍、教材建设等相关工作。</w:t>
      </w:r>
      <w:r>
        <w:rPr>
          <w:rFonts w:hint="eastAsia" w:ascii="仿宋" w:hAnsi="仿宋" w:eastAsia="仿宋" w:cs="仿宋"/>
          <w:b/>
          <w:bCs/>
          <w:sz w:val="32"/>
          <w:szCs w:val="32"/>
        </w:rPr>
        <w:t>一是强调近期考务工作注意事项。</w:t>
      </w:r>
      <w:r>
        <w:rPr>
          <w:rFonts w:hint="eastAsia" w:ascii="仿宋" w:hAnsi="仿宋" w:eastAsia="仿宋" w:cs="仿宋"/>
          <w:sz w:val="32"/>
          <w:szCs w:val="32"/>
        </w:rPr>
        <w:t>各学院组织考试前要提前借教室，避免课程冲突；对试卷质量要严格把关，避免明显错误，同时填写试卷审查表，并存入试卷存档资料袋中；试卷印刷及运送要严格遵守保密要求。</w:t>
      </w:r>
      <w:r>
        <w:rPr>
          <w:rFonts w:hint="eastAsia" w:ascii="仿宋" w:hAnsi="仿宋" w:eastAsia="仿宋" w:cs="仿宋"/>
          <w:b/>
          <w:bCs/>
          <w:sz w:val="32"/>
          <w:szCs w:val="32"/>
        </w:rPr>
        <w:t>二是2024届毕业设计（论文）工作。</w:t>
      </w:r>
      <w:r>
        <w:rPr>
          <w:rFonts w:hint="eastAsia" w:ascii="仿宋" w:hAnsi="仿宋" w:eastAsia="仿宋" w:cs="仿宋"/>
          <w:sz w:val="32"/>
          <w:szCs w:val="32"/>
        </w:rPr>
        <w:t>各学院工作方案已陆续提交上来，强调各项工作要严格按照教务处要求的时间节点进行，不要滞后。各学院要做好选题环节工作，严格控制更改题目的比例。</w:t>
      </w:r>
      <w:r>
        <w:rPr>
          <w:rFonts w:hint="eastAsia" w:ascii="仿宋" w:hAnsi="仿宋" w:eastAsia="仿宋" w:cs="仿宋"/>
          <w:b/>
          <w:bCs/>
          <w:sz w:val="32"/>
          <w:szCs w:val="32"/>
        </w:rPr>
        <w:t>三是加快学科竞赛工作坊经费使用进度。</w:t>
      </w:r>
      <w:r>
        <w:rPr>
          <w:rFonts w:hint="eastAsia" w:ascii="仿宋" w:hAnsi="仿宋" w:eastAsia="仿宋" w:cs="仿宋"/>
          <w:sz w:val="32"/>
          <w:szCs w:val="32"/>
        </w:rPr>
        <w:t>第二批建设经费已经下达，各学院要严格按照预算加快执行进度，应报尽报，提高经费使用效益。</w:t>
      </w:r>
      <w:r>
        <w:rPr>
          <w:rFonts w:hint="eastAsia" w:ascii="仿宋" w:hAnsi="仿宋" w:eastAsia="仿宋" w:cs="仿宋"/>
          <w:b/>
          <w:bCs/>
          <w:sz w:val="32"/>
          <w:szCs w:val="32"/>
        </w:rPr>
        <w:t>四是做好一流专业建设中期检查工作。</w:t>
      </w:r>
      <w:r>
        <w:rPr>
          <w:rFonts w:hint="eastAsia" w:ascii="仿宋" w:hAnsi="仿宋" w:eastAsia="仿宋" w:cs="仿宋"/>
          <w:sz w:val="32"/>
          <w:szCs w:val="32"/>
        </w:rPr>
        <w:t>还没有提交湖北高校一流本科专业建设有关情况统计表的三个专业需尽快提交，提交了但数据有修改的要及时跟教务处反馈。</w:t>
      </w:r>
      <w:r>
        <w:rPr>
          <w:rFonts w:hint="eastAsia" w:ascii="仿宋" w:hAnsi="仿宋" w:eastAsia="仿宋" w:cs="仿宋"/>
          <w:b/>
          <w:bCs/>
          <w:sz w:val="32"/>
          <w:szCs w:val="32"/>
        </w:rPr>
        <w:t>五是对专业动态调整排序规则做说明。</w:t>
      </w:r>
      <w:r>
        <w:rPr>
          <w:rFonts w:hint="eastAsia" w:ascii="仿宋" w:hAnsi="仿宋" w:eastAsia="仿宋" w:cs="仿宋"/>
          <w:sz w:val="32"/>
          <w:szCs w:val="32"/>
        </w:rPr>
        <w:t>教务处对专业动态调整排序规则做解释说明，根据就业质量、招生质量、师资质量三个指标对常规专业、中外合作办学专业、艺术类专业和新专业四类专业分别进行排序。各学院要立足学院长远发展，科学布局，合理调整学院专业结构。就该方案提交学院党政联席会议讨论，并在1</w:t>
      </w:r>
      <w:r>
        <w:rPr>
          <w:rFonts w:ascii="仿宋" w:hAnsi="仿宋" w:eastAsia="仿宋" w:cs="仿宋"/>
          <w:sz w:val="32"/>
          <w:szCs w:val="32"/>
        </w:rPr>
        <w:t>1</w:t>
      </w:r>
      <w:r>
        <w:rPr>
          <w:rFonts w:hint="eastAsia" w:ascii="仿宋" w:hAnsi="仿宋" w:eastAsia="仿宋" w:cs="仿宋"/>
          <w:sz w:val="32"/>
          <w:szCs w:val="32"/>
        </w:rPr>
        <w:t>月3日1</w:t>
      </w:r>
      <w:r>
        <w:rPr>
          <w:rFonts w:ascii="仿宋" w:hAnsi="仿宋" w:eastAsia="仿宋" w:cs="仿宋"/>
          <w:sz w:val="32"/>
          <w:szCs w:val="32"/>
        </w:rPr>
        <w:t>7</w:t>
      </w:r>
      <w:r>
        <w:rPr>
          <w:rFonts w:hint="eastAsia" w:ascii="仿宋" w:hAnsi="仿宋" w:eastAsia="仿宋" w:cs="仿宋"/>
          <w:sz w:val="32"/>
          <w:szCs w:val="32"/>
        </w:rPr>
        <w:t>:</w:t>
      </w:r>
      <w:r>
        <w:rPr>
          <w:rFonts w:ascii="仿宋" w:hAnsi="仿宋" w:eastAsia="仿宋" w:cs="仿宋"/>
          <w:sz w:val="32"/>
          <w:szCs w:val="32"/>
        </w:rPr>
        <w:t>00</w:t>
      </w:r>
      <w:r>
        <w:rPr>
          <w:rFonts w:hint="eastAsia" w:ascii="仿宋" w:hAnsi="仿宋" w:eastAsia="仿宋" w:cs="仿宋"/>
          <w:sz w:val="32"/>
          <w:szCs w:val="32"/>
        </w:rPr>
        <w:t>之前，将反馈意见提交教务处。</w:t>
      </w:r>
      <w:r>
        <w:rPr>
          <w:rFonts w:hint="eastAsia" w:ascii="仿宋" w:hAnsi="仿宋" w:eastAsia="仿宋" w:cs="仿宋"/>
          <w:b/>
          <w:bCs/>
          <w:sz w:val="32"/>
          <w:szCs w:val="32"/>
        </w:rPr>
        <w:t>六是国家级一流课程申报工作。</w:t>
      </w:r>
      <w:r>
        <w:rPr>
          <w:rFonts w:hint="eastAsia" w:ascii="仿宋" w:hAnsi="仿宋" w:eastAsia="仿宋" w:cs="仿宋"/>
          <w:sz w:val="32"/>
          <w:szCs w:val="32"/>
        </w:rPr>
        <w:t>国家级一流课程建设目标学院分解方案已初步拟定，希望相关学院高度重视，加大对申报课程的支持和指导力度，力争完成目标，助力学校一流课程建设水平再上新台阶。</w:t>
      </w:r>
      <w:r>
        <w:rPr>
          <w:rFonts w:hint="eastAsia" w:ascii="仿宋" w:hAnsi="仿宋" w:eastAsia="仿宋" w:cs="仿宋"/>
          <w:b/>
          <w:bCs/>
          <w:sz w:val="32"/>
          <w:szCs w:val="32"/>
        </w:rPr>
        <w:t>七是做好2023级学生转专业前期准备工作。</w:t>
      </w:r>
      <w:r>
        <w:rPr>
          <w:rFonts w:hint="eastAsia" w:ascii="仿宋" w:hAnsi="仿宋" w:eastAsia="仿宋" w:cs="仿宋"/>
          <w:sz w:val="32"/>
          <w:szCs w:val="32"/>
        </w:rPr>
        <w:t>教务处将于近期下发转专业工作通知，各学院要成立由院长任组长的转专业工作小组，制定详细工作方案。</w:t>
      </w:r>
      <w:r>
        <w:rPr>
          <w:rFonts w:hint="eastAsia" w:ascii="仿宋" w:hAnsi="仿宋" w:eastAsia="仿宋" w:cs="仿宋"/>
          <w:b/>
          <w:bCs/>
          <w:sz w:val="32"/>
          <w:szCs w:val="32"/>
        </w:rPr>
        <w:t>八是做好2024届毕业生电子图像采集工作。</w:t>
      </w:r>
      <w:r>
        <w:rPr>
          <w:rFonts w:hint="eastAsia" w:ascii="仿宋" w:hAnsi="仿宋" w:eastAsia="仿宋" w:cs="仿宋"/>
          <w:sz w:val="32"/>
          <w:szCs w:val="32"/>
        </w:rPr>
        <w:t>图像采集关系毕业生今后发展，今年图像采集工作和往年相比有较大变化，各学院务必把采集通知传达到每一位毕业生，组织做好采集工作。</w:t>
      </w:r>
      <w:r>
        <w:rPr>
          <w:rFonts w:hint="eastAsia" w:ascii="仿宋" w:hAnsi="仿宋" w:eastAsia="仿宋" w:cs="仿宋"/>
          <w:b/>
          <w:bCs/>
          <w:sz w:val="32"/>
          <w:szCs w:val="32"/>
        </w:rPr>
        <w:t>九是做好“十四五”规划教材申报工作。</w:t>
      </w:r>
      <w:r>
        <w:rPr>
          <w:rFonts w:hint="eastAsia" w:ascii="仿宋" w:hAnsi="仿宋" w:eastAsia="仿宋" w:cs="仿宋"/>
          <w:sz w:val="32"/>
          <w:szCs w:val="32"/>
        </w:rPr>
        <w:t>为冲击“十四五”规划教材，体现学校办学特色，食品、动科等优势学科所在学院要高度关注，把基础工作做扎实。</w:t>
      </w:r>
      <w:r>
        <w:rPr>
          <w:rFonts w:hint="eastAsia" w:ascii="仿宋" w:hAnsi="仿宋" w:eastAsia="仿宋" w:cs="仿宋"/>
          <w:b/>
          <w:bCs/>
          <w:sz w:val="32"/>
          <w:szCs w:val="32"/>
        </w:rPr>
        <w:t>十是做好第十次本科教育教学工作会议准备工作。</w:t>
      </w:r>
      <w:r>
        <w:rPr>
          <w:rFonts w:hint="eastAsia" w:ascii="仿宋" w:hAnsi="仿宋" w:eastAsia="仿宋" w:cs="仿宋"/>
          <w:sz w:val="32"/>
          <w:szCs w:val="32"/>
        </w:rPr>
        <w:t>相关学院要及时提交经验交流材料，撰写的材料要能够把学院的经验做法和亮点成效展现出来，要有示范借鉴价值。</w:t>
      </w:r>
    </w:p>
    <w:p>
      <w:pPr>
        <w:tabs>
          <w:tab w:val="left" w:pos="630"/>
        </w:tabs>
        <w:spacing w:line="520" w:lineRule="exact"/>
        <w:ind w:firstLine="640"/>
        <w:rPr>
          <w:rFonts w:ascii="仿宋" w:hAnsi="仿宋" w:eastAsia="仿宋" w:cs="仿宋"/>
          <w:sz w:val="32"/>
          <w:szCs w:val="32"/>
        </w:rPr>
      </w:pPr>
      <w:r>
        <w:rPr>
          <w:rFonts w:hint="eastAsia" w:ascii="仿宋" w:hAnsi="仿宋" w:eastAsia="仿宋" w:cs="仿宋"/>
          <w:sz w:val="32"/>
          <w:szCs w:val="32"/>
        </w:rPr>
        <w:t>教评中心布置了教学质量监测与评估相关工作。对课程设计检查、状态数据填报、教学创新大赛和期中教学检查等专项工作进行了布置。着重强调了状态数据填报工作，要求学院要严格审核把关，所填数据要真实全面。</w:t>
      </w:r>
    </w:p>
    <w:p>
      <w:pPr>
        <w:spacing w:line="520" w:lineRule="exact"/>
        <w:ind w:firstLine="640" w:firstLineChars="200"/>
        <w:rPr>
          <w:rFonts w:ascii="仿宋" w:hAnsi="仿宋" w:eastAsia="仿宋" w:cs="仿宋"/>
          <w:color w:val="FF0000"/>
          <w:sz w:val="32"/>
          <w:szCs w:val="32"/>
          <w:shd w:val="clear" w:color="auto" w:fill="FFFFFF"/>
        </w:rPr>
      </w:pPr>
      <w:r>
        <w:rPr>
          <w:rFonts w:hint="eastAsia" w:ascii="仿宋" w:hAnsi="仿宋" w:eastAsia="仿宋" w:cs="仿宋"/>
          <w:sz w:val="32"/>
          <w:szCs w:val="32"/>
        </w:rPr>
        <w:t>最后，副校长王宏勋做了总结发言。他强调：</w:t>
      </w:r>
      <w:r>
        <w:rPr>
          <w:rFonts w:hint="eastAsia" w:ascii="仿宋" w:hAnsi="仿宋" w:eastAsia="仿宋" w:cs="仿宋"/>
          <w:b/>
          <w:bCs/>
          <w:sz w:val="32"/>
          <w:szCs w:val="32"/>
        </w:rPr>
        <w:t>一要加强学习，推动教学秩序的相对刚性。</w:t>
      </w:r>
      <w:r>
        <w:rPr>
          <w:rFonts w:hint="eastAsia" w:ascii="仿宋" w:hAnsi="仿宋" w:eastAsia="仿宋" w:cs="仿宋"/>
          <w:sz w:val="32"/>
          <w:szCs w:val="32"/>
        </w:rPr>
        <w:t>本科教学工作不可随意而为，学校出台了一系列教学管理文件，大家要加强教学管理文件制度的学习，推动教学秩序的相对刚性。</w:t>
      </w:r>
      <w:r>
        <w:rPr>
          <w:rFonts w:hint="eastAsia" w:ascii="仿宋" w:hAnsi="仿宋" w:eastAsia="仿宋" w:cs="仿宋"/>
          <w:b/>
          <w:bCs/>
          <w:sz w:val="32"/>
          <w:szCs w:val="32"/>
        </w:rPr>
        <w:t>二要积极思考，认真履职。</w:t>
      </w:r>
      <w:r>
        <w:rPr>
          <w:rFonts w:hint="eastAsia" w:ascii="仿宋" w:hAnsi="仿宋" w:eastAsia="仿宋" w:cs="仿宋"/>
          <w:sz w:val="32"/>
          <w:szCs w:val="32"/>
        </w:rPr>
        <w:t>作为教学管理人员要强化责任担当，认真履职尽责，着力提升工作落实力。</w:t>
      </w:r>
      <w:r>
        <w:rPr>
          <w:rFonts w:hint="eastAsia" w:ascii="仿宋" w:hAnsi="仿宋" w:eastAsia="仿宋" w:cs="仿宋"/>
          <w:b/>
          <w:bCs/>
          <w:sz w:val="32"/>
          <w:szCs w:val="32"/>
        </w:rPr>
        <w:t>三要坚持问题导向，加强顶层设计。</w:t>
      </w:r>
      <w:r>
        <w:rPr>
          <w:rFonts w:hint="eastAsia" w:ascii="仿宋" w:hAnsi="仿宋" w:eastAsia="仿宋" w:cs="仿宋"/>
          <w:sz w:val="32"/>
          <w:szCs w:val="32"/>
        </w:rPr>
        <w:t>本科教学工作新问题新挑战层出不穷，遇到新问题要主动思考解决路径，立足长远，加强顶层设计，不要视而不见，高高挂起，后患无穷。</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xZTIwYjBmZThiMTNjYThlNDQxNTI1MzhlYTliZTMifQ=="/>
  </w:docVars>
  <w:rsids>
    <w:rsidRoot w:val="1F046721"/>
    <w:rsid w:val="000A0CE0"/>
    <w:rsid w:val="004B0C0B"/>
    <w:rsid w:val="00507779"/>
    <w:rsid w:val="00647054"/>
    <w:rsid w:val="007B0969"/>
    <w:rsid w:val="007D61E6"/>
    <w:rsid w:val="009D7567"/>
    <w:rsid w:val="00A11504"/>
    <w:rsid w:val="00AA7451"/>
    <w:rsid w:val="00FF380C"/>
    <w:rsid w:val="031511C4"/>
    <w:rsid w:val="0381685A"/>
    <w:rsid w:val="07A022D1"/>
    <w:rsid w:val="099472E7"/>
    <w:rsid w:val="0AD82025"/>
    <w:rsid w:val="0C0369A6"/>
    <w:rsid w:val="0C0D3381"/>
    <w:rsid w:val="0E146C48"/>
    <w:rsid w:val="0E5A0249"/>
    <w:rsid w:val="11A77DD3"/>
    <w:rsid w:val="171F21BA"/>
    <w:rsid w:val="176522C3"/>
    <w:rsid w:val="1B0818E3"/>
    <w:rsid w:val="1E4278A5"/>
    <w:rsid w:val="1EE1606C"/>
    <w:rsid w:val="1F046721"/>
    <w:rsid w:val="1F330EF8"/>
    <w:rsid w:val="22905561"/>
    <w:rsid w:val="239161EE"/>
    <w:rsid w:val="24EA3E07"/>
    <w:rsid w:val="24F133E8"/>
    <w:rsid w:val="27F1110D"/>
    <w:rsid w:val="28CA642A"/>
    <w:rsid w:val="2A375D41"/>
    <w:rsid w:val="2A7A5C2D"/>
    <w:rsid w:val="2B484342"/>
    <w:rsid w:val="2C9805ED"/>
    <w:rsid w:val="2D285E15"/>
    <w:rsid w:val="2EBF2295"/>
    <w:rsid w:val="2F124686"/>
    <w:rsid w:val="2FB27C17"/>
    <w:rsid w:val="302C1778"/>
    <w:rsid w:val="30420F9B"/>
    <w:rsid w:val="31CD2AE7"/>
    <w:rsid w:val="34847DD4"/>
    <w:rsid w:val="34DB0319"/>
    <w:rsid w:val="35586B6B"/>
    <w:rsid w:val="370950ED"/>
    <w:rsid w:val="383A3324"/>
    <w:rsid w:val="39791EBC"/>
    <w:rsid w:val="3A5D268E"/>
    <w:rsid w:val="3B2A2D58"/>
    <w:rsid w:val="3B6A10C7"/>
    <w:rsid w:val="3E233F7E"/>
    <w:rsid w:val="3E766A98"/>
    <w:rsid w:val="3E93569F"/>
    <w:rsid w:val="3EC16556"/>
    <w:rsid w:val="41AC6BBA"/>
    <w:rsid w:val="41E719A3"/>
    <w:rsid w:val="44B6565C"/>
    <w:rsid w:val="45595C36"/>
    <w:rsid w:val="45E561F9"/>
    <w:rsid w:val="482733F5"/>
    <w:rsid w:val="499248EA"/>
    <w:rsid w:val="49DC7913"/>
    <w:rsid w:val="4D0553D3"/>
    <w:rsid w:val="4D577207"/>
    <w:rsid w:val="5259502E"/>
    <w:rsid w:val="537A1EB5"/>
    <w:rsid w:val="553D1BAE"/>
    <w:rsid w:val="57831D16"/>
    <w:rsid w:val="57A91FC0"/>
    <w:rsid w:val="58BC103B"/>
    <w:rsid w:val="5CD437AF"/>
    <w:rsid w:val="5D387F9E"/>
    <w:rsid w:val="5D4930BA"/>
    <w:rsid w:val="5D535F44"/>
    <w:rsid w:val="5FB962D5"/>
    <w:rsid w:val="60BB42CE"/>
    <w:rsid w:val="62944DD7"/>
    <w:rsid w:val="62D80FCC"/>
    <w:rsid w:val="65297A59"/>
    <w:rsid w:val="68EE759B"/>
    <w:rsid w:val="69194288"/>
    <w:rsid w:val="6A77050E"/>
    <w:rsid w:val="6BF012D0"/>
    <w:rsid w:val="6E2A4841"/>
    <w:rsid w:val="6F926156"/>
    <w:rsid w:val="73AC3EE1"/>
    <w:rsid w:val="74152B15"/>
    <w:rsid w:val="764D731F"/>
    <w:rsid w:val="7677439C"/>
    <w:rsid w:val="79FA5A10"/>
    <w:rsid w:val="7AA5597C"/>
    <w:rsid w:val="7B933A26"/>
    <w:rsid w:val="7F174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Date"/>
    <w:basedOn w:val="1"/>
    <w:next w:val="1"/>
    <w:qFormat/>
    <w:uiPriority w:val="0"/>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秘密紧急"/>
    <w:basedOn w:val="1"/>
    <w:qFormat/>
    <w:uiPriority w:val="0"/>
    <w:pPr>
      <w:jc w:val="right"/>
    </w:pPr>
    <w:rPr>
      <w:rFonts w:ascii="黑体" w:eastAsia="黑体"/>
    </w:rPr>
  </w:style>
  <w:style w:type="paragraph" w:customStyle="1" w:styleId="11">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12">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13">
    <w:name w:val="Revision"/>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218</Words>
  <Characters>1248</Characters>
  <Lines>10</Lines>
  <Paragraphs>2</Paragraphs>
  <TotalTime>32</TotalTime>
  <ScaleCrop>false</ScaleCrop>
  <LinksUpToDate>false</LinksUpToDate>
  <CharactersWithSpaces>1464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2023-06-07T08:32:00Z</dcterms:created>
  <dc:creator>admin</dc:creator>
  <cp:lastModifiedBy>高坤</cp:lastModifiedBy>
  <cp:lastPrinted>2023-06-14T07:43:00Z</cp:lastPrinted>
  <dcterms:modified xsi:type="dcterms:W3CDTF">2023-10-31T01:49:24Z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7331315B8F994330ABA95859E5E128C5_13</vt:lpwstr>
  </property>
</Properties>
</file>