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26"/>
        <w:gridCol w:w="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4382" w:type="dxa"/>
            <w:gridSpan w:val="2"/>
          </w:tcPr>
          <w:p>
            <w:pPr>
              <w:pStyle w:val="5"/>
              <w:ind w:firstLine="822"/>
            </w:pPr>
          </w:p>
        </w:tc>
        <w:tc>
          <w:tcPr>
            <w:tcW w:w="4465" w:type="dxa"/>
            <w:gridSpan w:val="2"/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8847" w:type="dxa"/>
            <w:gridSpan w:val="4"/>
          </w:tcPr>
          <w:p>
            <w:pPr>
              <w:pStyle w:val="1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39" w:type="dxa"/>
          <w:cantSplit/>
          <w:trHeight w:val="922" w:hRule="atLeast"/>
        </w:trPr>
        <w:tc>
          <w:tcPr>
            <w:tcW w:w="8623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color w:val="FFFFFF"/>
                <w:spacing w:val="-22"/>
                <w:w w:val="55"/>
                <w:sz w:val="140"/>
                <w:szCs w:val="140"/>
              </w:rPr>
            </w:pPr>
            <w:r>
              <w:rPr>
                <w:rFonts w:hint="eastAsia" w:ascii="宋体" w:hAnsi="宋体" w:cs="宋体"/>
                <w:color w:val="FF0000"/>
                <w:spacing w:val="-22"/>
                <w:w w:val="55"/>
                <w:sz w:val="170"/>
                <w:szCs w:val="170"/>
              </w:rPr>
              <w:t>武汉轻工大学教务处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8847" w:type="dxa"/>
            <w:gridSpan w:val="4"/>
            <w:vAlign w:val="bottom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会议纪要〔202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〕13号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exact"/>
        </w:trPr>
        <w:tc>
          <w:tcPr>
            <w:tcW w:w="8847" w:type="dxa"/>
            <w:gridSpan w:val="4"/>
          </w:tcPr>
          <w:p>
            <w:pPr>
              <w:jc w:val="center"/>
            </w:pPr>
          </w:p>
        </w:tc>
      </w:tr>
    </w:tbl>
    <w:p>
      <w:pPr>
        <w:pStyle w:val="4"/>
        <w:ind w:firstLine="0" w:firstLineChars="0"/>
        <w:rPr>
          <w:rFonts w:ascii="仿宋" w:hAnsi="仿宋" w:eastAsia="仿宋"/>
          <w:b/>
          <w:bCs/>
          <w:sz w:val="44"/>
          <w:szCs w:val="44"/>
        </w:rPr>
      </w:pPr>
    </w:p>
    <w:p>
      <w:pPr>
        <w:pStyle w:val="4"/>
        <w:spacing w:line="560" w:lineRule="exact"/>
        <w:ind w:firstLine="0" w:firstLineChars="0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本科教学工作例会纪要</w:t>
      </w:r>
    </w:p>
    <w:p>
      <w:pPr>
        <w:pStyle w:val="4"/>
        <w:spacing w:line="560" w:lineRule="exact"/>
        <w:ind w:firstLine="0" w:firstLineChars="0"/>
        <w:jc w:val="center"/>
      </w:pPr>
      <w:r>
        <w:rPr>
          <w:rFonts w:hint="eastAsia"/>
        </w:rPr>
        <w:t>（2023年11月21日）</w:t>
      </w:r>
    </w:p>
    <w:p>
      <w:pPr>
        <w:pStyle w:val="4"/>
        <w:spacing w:line="52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11月21日下午，学校召开第十三次本科教学工作例会。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教务处处长沈汪洋主持会议，各学院(部)分管本科教学工作副院长（主任）、教务处和教评中心相关人员参加会议。</w:t>
      </w:r>
    </w:p>
    <w:p>
      <w:pPr>
        <w:tabs>
          <w:tab w:val="left" w:pos="630"/>
        </w:tabs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教务处布置了近期教学研究、教学运行、学籍等相关工作。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一是国家级一流课程申报工作。</w:t>
      </w:r>
      <w:r>
        <w:rPr>
          <w:rFonts w:hint="eastAsia" w:ascii="仿宋" w:hAnsi="仿宋" w:eastAsia="仿宋" w:cs="仿宋"/>
          <w:sz w:val="32"/>
          <w:szCs w:val="32"/>
        </w:rPr>
        <w:t>省级一流课程评审结果已经出来，国家级一流课程申报预计近期启动，时间紧，任务重，相关学院和课程负责人要高度重视，认真准备申报材料，保证申报课程质量。教务处会积极争取申报名额，并组织专家对申报课程进行把关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二是2024年校级教研项目申报工作。</w:t>
      </w:r>
      <w:r>
        <w:rPr>
          <w:rFonts w:hint="eastAsia" w:ascii="仿宋" w:hAnsi="仿宋" w:eastAsia="仿宋" w:cs="仿宋"/>
          <w:sz w:val="32"/>
          <w:szCs w:val="32"/>
        </w:rPr>
        <w:t>从2024年开始对校级教研项目申报工作进行改革，于上年末完成第二年的校级教研项目申报工作，在第二年开学初完成项目经费下拨工作，避免经费的跨年结转问题。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三是专业动态调整工作。</w:t>
      </w:r>
      <w:r>
        <w:rPr>
          <w:rFonts w:hint="eastAsia" w:ascii="仿宋" w:hAnsi="仿宋" w:eastAsia="仿宋" w:cs="仿宋"/>
          <w:sz w:val="32"/>
          <w:szCs w:val="32"/>
        </w:rPr>
        <w:t xml:space="preserve">专业动态调整是学校高质量发展的硬性要求，事关教职工的切身利益和个人发展，各学院要召开党政联席会和全体教职工大会讨论专业动态调整工作，认真研究招生、就业、师资等指标，确保调整过程的平稳有序。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四是“两库”建设工作。</w:t>
      </w:r>
      <w:r>
        <w:rPr>
          <w:rFonts w:hint="eastAsia" w:ascii="仿宋" w:hAnsi="仿宋" w:eastAsia="仿宋" w:cs="仿宋"/>
          <w:sz w:val="32"/>
          <w:szCs w:val="32"/>
        </w:rPr>
        <w:t>教务处将于近期启动行业企业课程资源库、真实项目案例库建设工作，每个专业要提交不少于5个课程资源和5个真实项目案例，教务处将提供一定的经费支持，希望各学院积极申报。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五是期末试卷命题工作。</w:t>
      </w:r>
      <w:r>
        <w:rPr>
          <w:rFonts w:hint="eastAsia" w:ascii="仿宋" w:hAnsi="仿宋" w:eastAsia="仿宋" w:cs="仿宋"/>
          <w:sz w:val="32"/>
          <w:szCs w:val="32"/>
        </w:rPr>
        <w:t>要求各学院认真组织教师学习并严格执行《武汉轻工大学本科课程考试命题与阅卷管理办法》，教学副院长要对试卷进行认真审核把关，杜绝题型单一、A、B卷题型数量不一致等问题。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五是下学期教学计划录入工作。</w:t>
      </w:r>
      <w:r>
        <w:rPr>
          <w:rFonts w:hint="eastAsia" w:ascii="仿宋" w:hAnsi="仿宋" w:eastAsia="仿宋" w:cs="仿宋"/>
          <w:sz w:val="32"/>
          <w:szCs w:val="32"/>
        </w:rPr>
        <w:t>要求所有学院在下学期教学计划中全部使用新的课程代码，并于11月底前完成录入任务。12月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sz w:val="32"/>
          <w:szCs w:val="32"/>
        </w:rPr>
        <w:t>教务处将组织教学秘书进行集中排课，进一步提高排课的科学化水平。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六是短学期课程安排工作。</w:t>
      </w:r>
      <w:r>
        <w:rPr>
          <w:rFonts w:hint="eastAsia" w:ascii="仿宋" w:hAnsi="仿宋" w:eastAsia="仿宋" w:cs="仿宋"/>
          <w:sz w:val="32"/>
          <w:szCs w:val="32"/>
        </w:rPr>
        <w:t>19-21周是短学期，各学院要做好课程安排，把各年级尤其是毕业年级所需开设的重修课程、集中性实习实训课程、辅修和微专业课程在短学期完成。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七是专业建设工作。</w:t>
      </w:r>
      <w:r>
        <w:rPr>
          <w:rFonts w:hint="eastAsia" w:ascii="仿宋" w:hAnsi="仿宋" w:eastAsia="仿宋" w:cs="仿宋"/>
          <w:sz w:val="32"/>
          <w:szCs w:val="32"/>
        </w:rPr>
        <w:t>一流专业中期建设报告和建设情况统计表已经提交省教育厅，统计表数据反映出个别专业在一些指标上存在缺项，要求各学院要进一步加大一流专业的支持和建设力度，确保达标。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八是学科竞赛工作。</w:t>
      </w:r>
      <w:r>
        <w:rPr>
          <w:rFonts w:hint="eastAsia" w:ascii="仿宋" w:hAnsi="仿宋" w:eastAsia="仿宋" w:cs="仿宋"/>
          <w:sz w:val="32"/>
          <w:szCs w:val="32"/>
        </w:rPr>
        <w:t>要求各学院进一步加大学科竞赛工作坊经费使用力度，及时向教务处提交赛事遴选信息表，并在12月底前完成2023年获奖信息的录入工作。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九是课程思政工作。</w:t>
      </w:r>
      <w:r>
        <w:rPr>
          <w:rFonts w:hint="eastAsia" w:ascii="仿宋" w:hAnsi="仿宋" w:eastAsia="仿宋" w:cs="仿宋"/>
          <w:sz w:val="32"/>
          <w:szCs w:val="32"/>
        </w:rPr>
        <w:t>实施思政课教师指导各学院课程思政建设计划，促进思政课程与课程思政的有机结合，同向同行，进一步推动课程思政进教材，进大纲，进课堂。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十是转专业工作。</w:t>
      </w:r>
      <w:r>
        <w:rPr>
          <w:rFonts w:hint="eastAsia" w:ascii="仿宋" w:hAnsi="仿宋" w:eastAsia="仿宋" w:cs="仿宋"/>
          <w:sz w:val="32"/>
          <w:szCs w:val="32"/>
        </w:rPr>
        <w:t>各学院转专业细则已全部审核完毕，要通过教学战线和学工战线等多种渠道将转专业政策通知到每一位2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23级学生，确保全部学生知晓，并按照时间节点完成各个步骤的工作，确保整个工作的平稳有序。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十一是2024届毕业生各类信息核查工作。</w:t>
      </w:r>
      <w:r>
        <w:rPr>
          <w:rFonts w:hint="eastAsia" w:ascii="仿宋" w:hAnsi="仿宋" w:eastAsia="仿宋" w:cs="仿宋"/>
          <w:sz w:val="32"/>
          <w:szCs w:val="32"/>
        </w:rPr>
        <w:t>毕业生基本信息事关毕业生就业、考研、出国深造等事务，毕业生基本信息不准确，将会造成难以挽回的损失。各学院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高度重视信息的核对以及录入工作，教学秘书做好宣传组织，辅导员引导并督促学生认真完成核对工作。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十二是大型仪器设备共享推进工作。</w:t>
      </w:r>
      <w:r>
        <w:rPr>
          <w:rFonts w:hint="eastAsia" w:ascii="仿宋" w:hAnsi="仿宋" w:eastAsia="仿宋" w:cs="仿宋"/>
          <w:sz w:val="32"/>
          <w:szCs w:val="32"/>
        </w:rPr>
        <w:t>大型仪器设备共享工作是学校今年力推的一件工作，平台已经上线试运行一段时间，各学院需把运行设备测试价格确定下来并上报教务处，教务处将于下周召开工作推进会，聆听学院声音，为进一步改进工作。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十三是第十次本科教育教学工作会议准备工作。</w:t>
      </w:r>
      <w:r>
        <w:rPr>
          <w:rFonts w:hint="eastAsia" w:ascii="仿宋" w:hAnsi="仿宋" w:eastAsia="仿宋" w:cs="仿宋"/>
          <w:sz w:val="32"/>
          <w:szCs w:val="32"/>
        </w:rPr>
        <w:t>各学院要认真撰写经验材料，把做法、成效和亮点写出来，从中挑选6个学院代表上台发言。</w:t>
      </w:r>
    </w:p>
    <w:p>
      <w:pPr>
        <w:tabs>
          <w:tab w:val="left" w:pos="630"/>
        </w:tabs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教评中心通报了近期状态数据填报、期中教学检查情况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审核评估自评报告撰写发现的问题，布置了学生评教、青教赛、教学创新设计大赛等相关工作。着重强调自评报告撰写工作，指出大部分学院自评报告撰写过虚，做法和成效内容较少，同时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支撑</w:t>
      </w:r>
      <w:r>
        <w:rPr>
          <w:rFonts w:hint="eastAsia" w:ascii="仿宋" w:hAnsi="仿宋" w:eastAsia="仿宋" w:cs="仿宋"/>
          <w:sz w:val="32"/>
          <w:szCs w:val="32"/>
        </w:rPr>
        <w:t>材料整理不足，望加以整改，继续完善。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最后，教务处处长沈汪洋对接下来的本科教学重点工作进行了安排部署，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一是全力配合完成审核评估工作。二是全面提高本科教学的组织化程度。</w:t>
      </w:r>
      <w:r>
        <w:rPr>
          <w:rFonts w:hint="eastAsia" w:ascii="仿宋" w:hAnsi="仿宋" w:eastAsia="仿宋" w:cs="仿宋"/>
          <w:sz w:val="32"/>
          <w:szCs w:val="32"/>
        </w:rPr>
        <w:t>为提高教学的有组织性，他着重强调了三个方面，一是要全面梳理本科教学管理相关制度，二是要不断强化基层教学组织，三是要争取更大力度的本科教学经费支持。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ZTIwYjBmZThiMTNjYThlNDQxNTI1MzhlYTliZTMifQ=="/>
  </w:docVars>
  <w:rsids>
    <w:rsidRoot w:val="1F046721"/>
    <w:rsid w:val="000A0CE0"/>
    <w:rsid w:val="0010365F"/>
    <w:rsid w:val="004315EE"/>
    <w:rsid w:val="004B0C0B"/>
    <w:rsid w:val="00507779"/>
    <w:rsid w:val="00647054"/>
    <w:rsid w:val="007B0969"/>
    <w:rsid w:val="007D61E6"/>
    <w:rsid w:val="009D7567"/>
    <w:rsid w:val="00A11504"/>
    <w:rsid w:val="00AA7451"/>
    <w:rsid w:val="00C41E91"/>
    <w:rsid w:val="00FE06A0"/>
    <w:rsid w:val="00FF380C"/>
    <w:rsid w:val="031511C4"/>
    <w:rsid w:val="0381685A"/>
    <w:rsid w:val="07A022D1"/>
    <w:rsid w:val="099472E7"/>
    <w:rsid w:val="0AD82025"/>
    <w:rsid w:val="0C0369A6"/>
    <w:rsid w:val="0C0D3381"/>
    <w:rsid w:val="0E146C48"/>
    <w:rsid w:val="0E5A0249"/>
    <w:rsid w:val="11A77DD3"/>
    <w:rsid w:val="171F21BA"/>
    <w:rsid w:val="176522C3"/>
    <w:rsid w:val="1B0818E3"/>
    <w:rsid w:val="1B521C55"/>
    <w:rsid w:val="1BE13230"/>
    <w:rsid w:val="1E4278A5"/>
    <w:rsid w:val="1EE1606C"/>
    <w:rsid w:val="1F046721"/>
    <w:rsid w:val="1F330EF8"/>
    <w:rsid w:val="22905561"/>
    <w:rsid w:val="239161EE"/>
    <w:rsid w:val="24EA3E07"/>
    <w:rsid w:val="24F133E8"/>
    <w:rsid w:val="27F1110D"/>
    <w:rsid w:val="28CA642A"/>
    <w:rsid w:val="29FF736E"/>
    <w:rsid w:val="2A375D41"/>
    <w:rsid w:val="2A7A5C2D"/>
    <w:rsid w:val="2B484342"/>
    <w:rsid w:val="2C9805ED"/>
    <w:rsid w:val="2D285E15"/>
    <w:rsid w:val="2EBF2295"/>
    <w:rsid w:val="2F124686"/>
    <w:rsid w:val="2FB27C17"/>
    <w:rsid w:val="302C1778"/>
    <w:rsid w:val="30420F9B"/>
    <w:rsid w:val="31CD2AE7"/>
    <w:rsid w:val="33203C0C"/>
    <w:rsid w:val="34847DD4"/>
    <w:rsid w:val="34DB0319"/>
    <w:rsid w:val="35586B6B"/>
    <w:rsid w:val="362A446E"/>
    <w:rsid w:val="370950ED"/>
    <w:rsid w:val="383A3324"/>
    <w:rsid w:val="39791EBC"/>
    <w:rsid w:val="3A5D268E"/>
    <w:rsid w:val="3B2A2D58"/>
    <w:rsid w:val="3B6A10C7"/>
    <w:rsid w:val="3D8478F4"/>
    <w:rsid w:val="3E233F7E"/>
    <w:rsid w:val="3E766A98"/>
    <w:rsid w:val="3E93569F"/>
    <w:rsid w:val="3EC16556"/>
    <w:rsid w:val="41AC6BBA"/>
    <w:rsid w:val="41E719A3"/>
    <w:rsid w:val="44B6565C"/>
    <w:rsid w:val="45595C36"/>
    <w:rsid w:val="45E561F9"/>
    <w:rsid w:val="482733F5"/>
    <w:rsid w:val="499248EA"/>
    <w:rsid w:val="49DC7913"/>
    <w:rsid w:val="4D0553D3"/>
    <w:rsid w:val="4D577207"/>
    <w:rsid w:val="5259502E"/>
    <w:rsid w:val="537A1EB5"/>
    <w:rsid w:val="553D1BAE"/>
    <w:rsid w:val="57831D16"/>
    <w:rsid w:val="57A91FC0"/>
    <w:rsid w:val="582D2320"/>
    <w:rsid w:val="58BC103B"/>
    <w:rsid w:val="5CD437AF"/>
    <w:rsid w:val="5D387F9E"/>
    <w:rsid w:val="5D4930BA"/>
    <w:rsid w:val="5D535F44"/>
    <w:rsid w:val="5FB962D5"/>
    <w:rsid w:val="60BB42CE"/>
    <w:rsid w:val="62944DD7"/>
    <w:rsid w:val="62D80FCC"/>
    <w:rsid w:val="65297A59"/>
    <w:rsid w:val="68EE759B"/>
    <w:rsid w:val="69194288"/>
    <w:rsid w:val="6A77050E"/>
    <w:rsid w:val="6BF012D0"/>
    <w:rsid w:val="6E2A4841"/>
    <w:rsid w:val="6F926156"/>
    <w:rsid w:val="724A19DE"/>
    <w:rsid w:val="73AC3EE1"/>
    <w:rsid w:val="74152B15"/>
    <w:rsid w:val="764D731F"/>
    <w:rsid w:val="7677439C"/>
    <w:rsid w:val="79FA5A10"/>
    <w:rsid w:val="7AA5597C"/>
    <w:rsid w:val="7B933A26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ate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13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修订2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修订3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1506</Characters>
  <Lines>12</Lines>
  <Paragraphs>3</Paragraphs>
  <TotalTime>43</TotalTime>
  <ScaleCrop>false</ScaleCrop>
  <LinksUpToDate>false</LinksUpToDate>
  <CharactersWithSpaces>1767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2023-06-07T08:32:00Z</dcterms:created>
  <dc:creator>admin</dc:creator>
  <cp:lastModifiedBy>高坤</cp:lastModifiedBy>
  <cp:lastPrinted>2023-06-14T07:43:00Z</cp:lastPrinted>
  <dcterms:modified xsi:type="dcterms:W3CDTF">2023-11-22T00:23:05Z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7331315B8F994330ABA95859E5E128C5_13</vt:lpwstr>
  </property>
</Properties>
</file>